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SahneBasligi"/>
      </w:pPr>
      <w:r>
        <w:t xml:space="preserve">TITLE: ......................    SHOOT DAY: ........</w:t>
      </w:r>
    </w:p>
    <w:tbl>
      <w:tblPr>
        <w:tblW w:w="93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20"/>
        <w:gridCol w:w="720"/>
        <w:gridCol w:w="2000"/>
        <w:gridCol w:w="2200"/>
        <w:gridCol w:w="1800"/>
        <w:gridCol w:w="2060"/>
      </w:tblGrid>
      <w:t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No</w:t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Scene</w:t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Location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Shot / Size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Cast</w:t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Notes</w:t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t"/>
      </w:pPr>
      <w:r>
        <w:t xml:space="preserve">Group the shots by LOCATION and CAST, not by story order: shoot everything in one location back to back. That's how a shoot day gets shorter.</w:t>
      </w:r>
    </w:p>
    <w:sectPr>
      <w:pgSz w:w="11906" w:h="16838"/>
      <w:pgMar w:top="1440" w:right="1134" w:bottom="144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Shot list template</dc:title>
  <dc:creator>Senaryo Okulu</dc:creator>
  <cp:lastModifiedBy>Senaryo Okulu</cp:lastModifiedBy>
  <dc:description>senaryookulu.com</dc:description>
</cp:coreProperties>
</file>