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SahneBasligi"/>
      </w:pPr>
      <w:r>
        <w:t xml:space="preserve">SCENE 2 — INT. BUTCHER'S SHOP – NOON</w:t>
      </w:r>
    </w:p>
    <w:tbl>
      <w:tblPr>
        <w:tblW w:w="94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Pr>
      <w:tblGrid>
        <w:gridCol w:w="4700"/>
        <w:gridCol w:w="4700"/>
      </w:tblGrid>
      <w:tr>
        <w:tc>
          <w:tcPr>
            <w:tcW w:w="4700" w:type="dxa"/>
            <w:tcMar>
              <w:top w:w="80" w:type="dxa"/>
              <w:left w:w="120" w:type="dxa"/>
              <w:bottom w:w="80" w:type="dxa"/>
              <w:right w:w="120" w:type="dxa"/>
            </w:tcMar>
          </w:tcPr>
          <w:p>
            <w:pPr>
              <w:pStyle w:val="Normal"/>
            </w:pPr>
            <w:r>
              <w:rPr>
                <w:b/>
              </w:rPr>
              <w:t xml:space="preserve">VIDEO</w:t>
            </w:r>
          </w:p>
        </w:tc>
        <w:tc>
          <w:tcPr>
            <w:tcW w:w="4700" w:type="dxa"/>
            <w:tcMar>
              <w:top w:w="80" w:type="dxa"/>
              <w:left w:w="120" w:type="dxa"/>
              <w:bottom w:w="80" w:type="dxa"/>
              <w:right w:w="120" w:type="dxa"/>
            </w:tcMar>
          </w:tcPr>
          <w:p>
            <w:pPr>
              <w:pStyle w:val="Normal"/>
            </w:pPr>
            <w:r>
              <w:rPr>
                <w:b/>
              </w:rPr>
              <w:t xml:space="preserve">AUDIO</w:t>
            </w:r>
          </w:p>
        </w:tc>
      </w:tr>
      <w:tr>
        <w:tc>
          <w:tcPr>
            <w:tcW w:w="4700" w:type="dxa"/>
            <w:tcMar>
              <w:top w:w="80" w:type="dxa"/>
              <w:left w:w="120" w:type="dxa"/>
              <w:bottom w:w="80" w:type="dxa"/>
              <w:right w:w="120" w:type="dxa"/>
            </w:tcMar>
          </w:tcPr>
          <w:p>
            <w:pPr>
              <w:pStyle w:val="Normal"/>
            </w:pPr>
            <w:r>
              <w:t xml:space="preserve">The door bell. NEVIN (70s, string shopping bag) comes in. She stops in front of the empty counter.</w:t>
            </w:r>
          </w:p>
        </w:tc>
        <w:tc>
          <w:tcPr>
            <w:tcW w:w="4700" w:type="dxa"/>
            <w:tcMar>
              <w:top w:w="80" w:type="dxa"/>
              <w:left w:w="120" w:type="dxa"/>
              <w:bottom w:w="80" w:type="dxa"/>
              <w:right w:w="120" w:type="dxa"/>
            </w:tcMar>
          </w:tcPr>
          <w:p>
            <w:pPr>
              <w:pStyle w:val="Normal"/>
            </w:pPr>
            <w:r>
              <w:t xml:space="preserve">Door bell. Distant traffic hum from the street.</w:t>
            </w:r>
          </w:p>
        </w:tc>
      </w:tr>
      <w:tr>
        <w:tc>
          <w:tcPr>
            <w:tcW w:w="4700" w:type="dxa"/>
            <w:tcMar>
              <w:top w:w="80" w:type="dxa"/>
              <w:left w:w="120" w:type="dxa"/>
              <w:bottom w:w="80" w:type="dxa"/>
              <w:right w:w="120" w:type="dxa"/>
            </w:tcMar>
          </w:tcPr>
          <w:p>
            <w:pPr>
              <w:pStyle w:val="Normal"/>
            </w:pPr>
            <w:r>
              <w:t xml:space="preserve">Cemal looks up.</w:t>
            </w:r>
          </w:p>
        </w:tc>
        <w:tc>
          <w:tcPr>
            <w:tcW w:w="4700" w:type="dxa"/>
            <w:tcMar>
              <w:top w:w="80" w:type="dxa"/>
              <w:left w:w="120" w:type="dxa"/>
              <w:bottom w:w="80" w:type="dxa"/>
              <w:right w:w="120" w:type="dxa"/>
            </w:tcMar>
          </w:tcPr>
          <w:p>
            <w:pPr>
              <w:pStyle w:val="Normal"/>
            </w:pPr>
            <w:r>
              <w:t xml:space="preserve">NEVIN: Two hundred grams of mince.</w:t>
            </w:r>
          </w:p>
        </w:tc>
      </w:tr>
      <w:tr>
        <w:tc>
          <w:tcPr>
            <w:tcW w:w="4700" w:type="dxa"/>
            <w:tcMar>
              <w:top w:w="80" w:type="dxa"/>
              <w:left w:w="120" w:type="dxa"/>
              <w:bottom w:w="80" w:type="dxa"/>
              <w:right w:w="120" w:type="dxa"/>
            </w:tcMar>
          </w:tcPr>
          <w:p>
            <w:pPr>
              <w:pStyle w:val="Normal"/>
            </w:pPr>
            <w:r>
              <w:t xml:space="preserve">Cemal takes the meat from the hook, cuts it, feeds it to the grinder. He puts the mince on paper and sets it on the scale. The needle stops at 220.</w:t>
            </w:r>
          </w:p>
        </w:tc>
        <w:tc>
          <w:tcPr>
            <w:tcW w:w="4700" w:type="dxa"/>
            <w:tcMar>
              <w:top w:w="80" w:type="dxa"/>
              <w:left w:w="120" w:type="dxa"/>
              <w:bottom w:w="80" w:type="dxa"/>
              <w:right w:w="120" w:type="dxa"/>
            </w:tcMar>
          </w:tcPr>
          <w:p>
            <w:pPr>
              <w:pStyle w:val="Normal"/>
            </w:pPr>
            <w:r>
              <w:t xml:space="preserve">The grinder. The metal click of the scale.</w:t>
            </w:r>
          </w:p>
        </w:tc>
      </w:tr>
      <w:tr>
        <w:tc>
          <w:tcPr>
            <w:tcW w:w="4700" w:type="dxa"/>
            <w:tcMar>
              <w:top w:w="80" w:type="dxa"/>
              <w:left w:w="120" w:type="dxa"/>
              <w:bottom w:w="80" w:type="dxa"/>
              <w:right w:w="120" w:type="dxa"/>
            </w:tcMar>
          </w:tcPr>
          <w:p>
            <w:pPr>
              <w:pStyle w:val="Normal"/>
            </w:pPr>
            <w:r>
              <w:t xml:space="preserve">Cemal takes a pinch of mince back. The needle drops to 200. Nevin watches.</w:t>
            </w:r>
          </w:p>
        </w:tc>
        <w:tc>
          <w:tcPr>
            <w:tcW w:w="4700" w:type="dxa"/>
            <w:tcMar>
              <w:top w:w="80" w:type="dxa"/>
              <w:left w:w="120" w:type="dxa"/>
              <w:bottom w:w="80" w:type="dxa"/>
              <w:right w:w="120" w:type="dxa"/>
            </w:tcMar>
          </w:tcPr>
          <w:p>
            <w:pPr>
              <w:pStyle w:val="Normal"/>
            </w:pPr>
            <w:r>
              <w:t xml:space="preserve">NEVIN: Oh, come on, Cemal. It's twenty grams.</w:t>
            </w:r>
            <w:r>
              <w:br/>
              <w:t xml:space="preserve"/>
            </w:r>
            <w:r>
              <w:br/>
              <w:t xml:space="preserve">CEMAL: You said two hundred.</w:t>
            </w:r>
          </w:p>
        </w:tc>
      </w:tr>
      <w:tr>
        <w:tc>
          <w:tcPr>
            <w:tcW w:w="4700" w:type="dxa"/>
            <w:tcMar>
              <w:top w:w="80" w:type="dxa"/>
              <w:left w:w="120" w:type="dxa"/>
              <w:bottom w:w="80" w:type="dxa"/>
              <w:right w:w="120" w:type="dxa"/>
            </w:tcMar>
          </w:tcPr>
          <w:p>
            <w:pPr>
              <w:pStyle w:val="Normal"/>
            </w:pPr>
            <w:r>
              <w:t xml:space="preserve">Nevin leaves the money on the counter. She stops at the door and looks through the glass at the giant shop window across the street.</w:t>
            </w:r>
          </w:p>
        </w:tc>
        <w:tc>
          <w:tcPr>
            <w:tcW w:w="4700" w:type="dxa"/>
            <w:tcMar>
              <w:top w:w="80" w:type="dxa"/>
              <w:left w:w="120" w:type="dxa"/>
              <w:bottom w:w="80" w:type="dxa"/>
              <w:right w:w="120" w:type="dxa"/>
            </w:tcMar>
          </w:tcPr>
          <w:p>
            <w:pPr>
              <w:pStyle w:val="Normal"/>
            </w:pPr>
            <w:r>
              <w:t xml:space="preserve">Coins on the glass.</w:t>
            </w:r>
            <w:r>
              <w:br/>
              <w:t xml:space="preserve"/>
            </w:r>
            <w:r>
              <w:br/>
              <w:t xml:space="preserve">NEVIN: They're opening on Friday, they say.</w:t>
            </w:r>
          </w:p>
        </w:tc>
      </w:tr>
      <w:tr>
        <w:tc>
          <w:tcPr>
            <w:tcW w:w="4700" w:type="dxa"/>
            <w:tcMar>
              <w:top w:w="80" w:type="dxa"/>
              <w:left w:w="120" w:type="dxa"/>
              <w:bottom w:w="80" w:type="dxa"/>
              <w:right w:w="120" w:type="dxa"/>
            </w:tcMar>
          </w:tcPr>
          <w:p>
            <w:pPr>
              <w:pStyle w:val="Normal"/>
            </w:pPr>
            <w:r>
              <w:t xml:space="preserve">Cemal doesn't answer. He wipes the knife. The door closes.</w:t>
            </w:r>
          </w:p>
        </w:tc>
        <w:tc>
          <w:tcPr>
            <w:tcW w:w="4700" w:type="dxa"/>
            <w:tcMar>
              <w:top w:w="80" w:type="dxa"/>
              <w:left w:w="120" w:type="dxa"/>
              <w:bottom w:w="80" w:type="dxa"/>
              <w:right w:w="120" w:type="dxa"/>
            </w:tcMar>
          </w:tcPr>
          <w:p>
            <w:pPr>
              <w:pStyle w:val="Normal"/>
            </w:pPr>
            <w:r>
              <w:t xml:space="preserve">The knife rubbing against the cloth. Door bell.</w:t>
            </w:r>
          </w:p>
        </w:tc>
      </w:tr>
    </w:tbl>
    <w:p>
      <w:pPr>
        <w:pStyle w:val="Normal"/>
      </w:pPr>
      <w:r>
        <w:t xml:space="preserve"/>
      </w:r>
    </w:p>
    <w:sectPr>
      <w:pgSz w:w="11906" w:h="16838"/>
      <w:pgMar w:top="1440" w:right="1134" w:bottom="1440" w:left="1134" w:header="708" w:footer="708" w:gutter="0"/>
    </w:sectPr>
  </w:body>
</w:document>
</file>

<file path=word/styles.xml><?xml version="1.0" encoding="utf-8"?>
<w:styles xmlns:w="http://schemas.openxmlformats.org/wordprocessingml/2006/main">
  <w:docDefaults>
    <w:rPrDefault>
      <w:rPr>
        <w:rFonts w:ascii="Courier New" w:hAnsi="Courier New" w:cs="Courier New"/>
        <w:sz w:val="24"/>
        <w:szCs w:val="24"/>
        <w:lang w:val="en-US"/>
      </w:rPr>
    </w:rPrDefault>
    <w:pPrDefault>
      <w:pPr>
        <w:spacing w:before="0" w:after="0" w:line="240" w:lineRule="auto"/>
      </w:pPr>
    </w:pPrDefault>
  </w:docDefaults>
  <w:style w:type="paragraph" w:default="1" w:styleId="Normal">
    <w:name w:val="Normal"/>
    <w:qFormat/>
  </w:style>
  <w:style w:type="paragraph" w:styleId="SahneBasligi">
    <w:name w:val="Scene Heading"/>
    <w:basedOn w:val="Normal"/>
    <w:qFormat/>
    <w:pPr>
      <w:keepNext/>
      <w:spacing w:before="240"/>
    </w:pPr>
    <w:rPr>
      <w:b/>
    </w:rPr>
  </w:style>
  <w:style w:type="paragraph" w:styleId="Aksiyon">
    <w:name w:val="Action"/>
    <w:basedOn w:val="Normal"/>
    <w:qFormat/>
    <w:pPr>
      <w:spacing w:before="240"/>
    </w:pPr>
  </w:style>
  <w:style w:type="paragraph" w:styleId="Karakter">
    <w:name w:val="Character"/>
    <w:basedOn w:val="Normal"/>
    <w:qFormat/>
    <w:pPr>
      <w:keepNext/>
      <w:spacing w:before="240"/>
      <w:ind w:left="3168"/>
    </w:pPr>
  </w:style>
  <w:style w:type="paragraph" w:styleId="Parantez">
    <w:name w:val="Parenthetical"/>
    <w:basedOn w:val="Normal"/>
    <w:qFormat/>
    <w:pPr>
      <w:keepNext/>
      <w:ind w:left="2304"/>
    </w:pPr>
  </w:style>
  <w:style w:type="paragraph" w:styleId="Diyalog">
    <w:name w:val="Dialogue"/>
    <w:basedOn w:val="Normal"/>
    <w:qFormat/>
    <w:pPr>
      <w:ind w:left="1440" w:right="1728"/>
    </w:pPr>
  </w:style>
  <w:style w:type="paragraph" w:styleId="Gecis">
    <w:name w:val="Transition"/>
    <w:basedOn w:val="Normal"/>
    <w:qFormat/>
    <w:pPr>
      <w:spacing w:before="240"/>
      <w:jc w:val="right"/>
    </w:pPr>
  </w:style>
  <w:style w:type="paragraph" w:styleId="KapakBaslik">
    <w:name w:val="Title Page"/>
    <w:basedOn w:val="Normal"/>
    <w:qFormat/>
    <w:pPr>
      <w:spacing w:before="240"/>
      <w:jc w:val="center"/>
    </w:pPr>
  </w:style>
  <w:style w:type="paragraph" w:styleId="Not">
    <w:name w:val="Note"/>
    <w:basedOn w:val="Normal"/>
    <w:qFormat/>
    <w:pPr>
      <w:spacing w:before="240"/>
    </w:pPr>
    <w:rPr>
      <w:i/>
      <w:color w:val="66666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The Scale — two-column format</dc:title>
  <dc:creator>Senaryo Okulu</dc:creator>
  <cp:lastModifiedBy>Senaryo Okulu</cp:lastModifiedBy>
  <dc:description>senaryookulu.com</dc:description>
</cp:coreProperties>
</file>